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tabs>
          <w:tab w:val="left" w:pos="398"/>
        </w:tabs>
        <w:spacing w:before="0" w:after="0" w:line="480" w:lineRule="exact"/>
        <w:jc w:val="center"/>
        <w:rPr>
          <w:rFonts w:ascii="黑体" w:hAnsi="黑体" w:eastAsia="黑体" w:cs="黑体"/>
          <w:sz w:val="36"/>
          <w:szCs w:val="36"/>
        </w:rPr>
      </w:pPr>
      <w:bookmarkStart w:id="0" w:name="_Toc466909463"/>
      <w:bookmarkStart w:id="1" w:name="_Toc422146028"/>
      <w:bookmarkStart w:id="2" w:name="_Toc20190"/>
      <w:r>
        <w:rPr>
          <w:rFonts w:hint="eastAsia" w:ascii="黑体" w:hAnsi="黑体" w:eastAsia="黑体" w:cs="黑体"/>
          <w:sz w:val="36"/>
          <w:szCs w:val="36"/>
        </w:rPr>
        <w:t>青海新点限额以下交易平台</w:t>
      </w:r>
    </w:p>
    <w:p>
      <w:pPr>
        <w:pStyle w:val="2"/>
        <w:numPr>
          <w:ilvl w:val="0"/>
          <w:numId w:val="0"/>
        </w:numPr>
        <w:tabs>
          <w:tab w:val="left" w:pos="398"/>
        </w:tabs>
        <w:spacing w:before="0" w:after="0" w:line="480" w:lineRule="exact"/>
        <w:jc w:val="center"/>
        <w:rPr>
          <w:rFonts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评标专家操作手册</w:t>
      </w:r>
    </w:p>
    <w:p>
      <w:pPr>
        <w:ind w:firstLine="2880" w:firstLineChars="800"/>
      </w:pPr>
      <w:r>
        <w:rPr>
          <w:rFonts w:hint="eastAsia" w:ascii="黑体" w:hAnsi="黑体" w:eastAsia="黑体" w:cs="黑体"/>
          <w:sz w:val="36"/>
          <w:szCs w:val="36"/>
        </w:rPr>
        <w:t>（202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3</w:t>
      </w:r>
      <w:r>
        <w:rPr>
          <w:rFonts w:hint="eastAsia" w:ascii="黑体" w:hAnsi="黑体" w:eastAsia="黑体" w:cs="黑体"/>
          <w:sz w:val="36"/>
          <w:szCs w:val="36"/>
        </w:rPr>
        <w:t>.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02</w:t>
      </w:r>
      <w:r>
        <w:rPr>
          <w:rFonts w:hint="eastAsia" w:ascii="黑体" w:hAnsi="黑体" w:eastAsia="黑体" w:cs="黑体"/>
          <w:sz w:val="36"/>
          <w:szCs w:val="36"/>
        </w:rPr>
        <w:t>.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06</w:t>
      </w:r>
      <w:r>
        <w:rPr>
          <w:rFonts w:hint="eastAsia" w:ascii="黑体" w:hAnsi="黑体" w:eastAsia="黑体" w:cs="黑体"/>
          <w:sz w:val="36"/>
          <w:szCs w:val="36"/>
        </w:rPr>
        <w:t>）</w:t>
      </w:r>
    </w:p>
    <w:p/>
    <w:p>
      <w:pPr>
        <w:pStyle w:val="2"/>
        <w:numPr>
          <w:ilvl w:val="0"/>
          <w:numId w:val="2"/>
        </w:numPr>
        <w:spacing w:before="0" w:after="0" w:line="480" w:lineRule="exact"/>
        <w:ind w:hanging="6"/>
        <w:rPr>
          <w:sz w:val="28"/>
        </w:rPr>
      </w:pPr>
      <w:r>
        <w:rPr>
          <w:rFonts w:hint="eastAsia"/>
          <w:sz w:val="28"/>
        </w:rPr>
        <w:t>系统前期准备</w:t>
      </w:r>
      <w:bookmarkEnd w:id="0"/>
      <w:bookmarkEnd w:id="1"/>
      <w:bookmarkEnd w:id="2"/>
    </w:p>
    <w:p>
      <w:pPr>
        <w:pStyle w:val="3"/>
        <w:spacing w:before="0" w:after="0" w:line="480" w:lineRule="exact"/>
        <w:rPr>
          <w:sz w:val="28"/>
          <w:szCs w:val="28"/>
        </w:rPr>
      </w:pPr>
      <w:bookmarkStart w:id="3" w:name="_Toc466909464"/>
      <w:bookmarkStart w:id="4" w:name="_Toc422146039"/>
      <w:bookmarkStart w:id="5" w:name="_Toc346183639"/>
      <w:bookmarkStart w:id="6" w:name="_Toc387148289"/>
      <w:bookmarkStart w:id="7" w:name="_Toc387133154"/>
      <w:r>
        <w:rPr>
          <w:rFonts w:hint="eastAsia"/>
          <w:sz w:val="28"/>
          <w:szCs w:val="28"/>
        </w:rPr>
        <w:t>浏览器配置</w:t>
      </w:r>
      <w:bookmarkEnd w:id="3"/>
      <w:bookmarkEnd w:id="4"/>
      <w:bookmarkEnd w:id="5"/>
      <w:bookmarkEnd w:id="6"/>
      <w:bookmarkEnd w:id="7"/>
      <w:bookmarkStart w:id="22" w:name="_GoBack"/>
      <w:bookmarkEnd w:id="22"/>
    </w:p>
    <w:p>
      <w:pPr>
        <w:pStyle w:val="4"/>
        <w:spacing w:before="0" w:after="0" w:line="480" w:lineRule="exact"/>
        <w:rPr>
          <w:szCs w:val="28"/>
        </w:rPr>
      </w:pPr>
      <w:bookmarkStart w:id="8" w:name="_Toc422146040"/>
      <w:bookmarkStart w:id="9" w:name="_Toc466909465"/>
      <w:bookmarkStart w:id="10" w:name="_Toc346183640"/>
      <w:bookmarkStart w:id="11" w:name="_Toc387133155"/>
      <w:bookmarkStart w:id="12" w:name="_Toc387148290"/>
      <w:r>
        <w:rPr>
          <w:rFonts w:hint="eastAsia"/>
          <w:szCs w:val="28"/>
        </w:rPr>
        <w:t>Internet选项</w:t>
      </w:r>
      <w:bookmarkEnd w:id="8"/>
      <w:bookmarkEnd w:id="9"/>
      <w:bookmarkEnd w:id="10"/>
      <w:bookmarkEnd w:id="11"/>
      <w:bookmarkEnd w:id="12"/>
    </w:p>
    <w:p>
      <w:pPr>
        <w:ind w:firstLine="560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 xml:space="preserve">建议使用IE11及以上的浏览器 </w:t>
      </w:r>
    </w:p>
    <w:p>
      <w:pPr>
        <w:ind w:firstLine="560"/>
        <w:rPr>
          <w:color w:val="FF0000"/>
          <w:sz w:val="28"/>
          <w:szCs w:val="28"/>
        </w:rPr>
      </w:pPr>
      <w:r>
        <w:rPr>
          <w:rFonts w:hint="eastAsia"/>
          <w:color w:val="2E75B5"/>
          <w:sz w:val="28"/>
          <w:szCs w:val="28"/>
        </w:rPr>
        <w:t>专家登录地址：https://www.etrading.cn/TPPingBiao/customframe4pb/loginPBNew</w:t>
      </w:r>
    </w:p>
    <w:p>
      <w:pPr>
        <w:ind w:firstLine="576"/>
        <w:rPr>
          <w:rFonts w:ascii="宋体" w:hAnsi="宋体"/>
          <w:spacing w:val="4"/>
          <w:sz w:val="28"/>
          <w:szCs w:val="28"/>
        </w:rPr>
      </w:pPr>
      <w:r>
        <w:rPr>
          <w:rFonts w:hint="eastAsia" w:ascii="宋体" w:hAnsi="宋体"/>
          <w:spacing w:val="4"/>
          <w:sz w:val="28"/>
          <w:szCs w:val="28"/>
        </w:rPr>
        <w:t>为了让系统插件能够正常工作，请进入专家地址后后，按照以下步骤进行浏览器的配置。</w:t>
      </w:r>
    </w:p>
    <w:p>
      <w:pPr>
        <w:ind w:firstLine="576"/>
        <w:rPr>
          <w:rFonts w:ascii="宋体" w:hAnsi="宋体"/>
          <w:spacing w:val="4"/>
          <w:sz w:val="28"/>
          <w:szCs w:val="28"/>
        </w:rPr>
      </w:pPr>
      <w:r>
        <w:rPr>
          <w:spacing w:val="4"/>
          <w:sz w:val="28"/>
          <w:szCs w:val="28"/>
        </w:rPr>
        <w:t>1</w:t>
      </w:r>
      <w:r>
        <w:rPr>
          <w:rFonts w:hint="eastAsia" w:ascii="宋体" w:hAnsi="宋体"/>
          <w:spacing w:val="4"/>
          <w:sz w:val="28"/>
          <w:szCs w:val="28"/>
        </w:rPr>
        <w:t>、打开浏览器，在</w:t>
      </w:r>
      <w:r>
        <w:rPr>
          <w:rFonts w:hint="eastAsia" w:ascii="宋体" w:hAnsi="宋体"/>
          <w:sz w:val="28"/>
          <w:szCs w:val="28"/>
        </w:rPr>
        <w:t>“工</w:t>
      </w:r>
      <w:r>
        <w:rPr>
          <w:rFonts w:hint="eastAsia" w:ascii="宋体" w:hAnsi="宋体"/>
          <w:spacing w:val="4"/>
          <w:sz w:val="28"/>
          <w:szCs w:val="28"/>
        </w:rPr>
        <w:t>具”菜单→“Internet选项”</w:t>
      </w:r>
    </w:p>
    <w:p>
      <w:pPr>
        <w:pStyle w:val="12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4782185" cy="3846830"/>
            <wp:effectExtent l="0" t="0" r="18415" b="12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76"/>
        <w:rPr>
          <w:rFonts w:ascii="宋体" w:hAnsi="宋体"/>
          <w:spacing w:val="4"/>
          <w:sz w:val="28"/>
          <w:szCs w:val="28"/>
        </w:rPr>
      </w:pPr>
      <w:r>
        <w:rPr>
          <w:spacing w:val="4"/>
          <w:sz w:val="28"/>
          <w:szCs w:val="28"/>
        </w:rPr>
        <w:t>2</w:t>
      </w:r>
      <w:r>
        <w:rPr>
          <w:rFonts w:hint="eastAsia" w:ascii="宋体" w:hAnsi="宋体"/>
          <w:spacing w:val="4"/>
          <w:sz w:val="28"/>
          <w:szCs w:val="28"/>
        </w:rPr>
        <w:t>、弹出对话框之后，请选择“安全”选项卡，具体的界面如下图：</w:t>
      </w:r>
    </w:p>
    <w:p>
      <w:pPr>
        <w:pStyle w:val="12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5010785" cy="3039110"/>
            <wp:effectExtent l="0" t="0" r="18415" b="889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pacing w:val="4"/>
          <w:sz w:val="28"/>
          <w:szCs w:val="28"/>
        </w:rPr>
      </w:pPr>
      <w:r>
        <w:rPr>
          <w:spacing w:val="4"/>
          <w:sz w:val="28"/>
          <w:szCs w:val="28"/>
        </w:rPr>
        <w:t>3</w:t>
      </w:r>
      <w:r>
        <w:rPr>
          <w:rFonts w:hint="eastAsia" w:ascii="宋体" w:hAnsi="宋体"/>
          <w:spacing w:val="4"/>
          <w:sz w:val="28"/>
          <w:szCs w:val="28"/>
        </w:rPr>
        <w:t>、点击绿色的“受信任的站点”的图片，会看到如下图所示的界面：</w:t>
      </w:r>
    </w:p>
    <w:p>
      <w:pPr>
        <w:pStyle w:val="12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5123815" cy="3821430"/>
            <wp:effectExtent l="0" t="0" r="635" b="762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381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76"/>
        <w:rPr>
          <w:rFonts w:ascii="宋体" w:hAnsi="宋体"/>
          <w:spacing w:val="4"/>
          <w:sz w:val="28"/>
          <w:szCs w:val="28"/>
        </w:rPr>
      </w:pPr>
      <w:r>
        <w:rPr>
          <w:spacing w:val="4"/>
          <w:sz w:val="28"/>
          <w:szCs w:val="28"/>
        </w:rPr>
        <w:t>4</w:t>
      </w:r>
      <w:r>
        <w:rPr>
          <w:rFonts w:hint="eastAsia" w:ascii="宋体" w:hAnsi="宋体"/>
          <w:spacing w:val="4"/>
          <w:sz w:val="28"/>
          <w:szCs w:val="28"/>
        </w:rPr>
        <w:t>、点击“站点” 按钮，出现如下对话框：</w:t>
      </w:r>
    </w:p>
    <w:p>
      <w:pPr>
        <w:pStyle w:val="12"/>
        <w:rPr>
          <w:rFonts w:ascii="宋体" w:hAnsi="宋体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416550" cy="3796030"/>
            <wp:effectExtent l="0" t="0" r="12700" b="1397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76"/>
        <w:rPr>
          <w:rFonts w:ascii="宋体" w:hAnsi="宋体"/>
          <w:spacing w:val="4"/>
          <w:sz w:val="28"/>
          <w:szCs w:val="28"/>
        </w:rPr>
      </w:pPr>
      <w:r>
        <w:rPr>
          <w:spacing w:val="4"/>
          <w:sz w:val="28"/>
          <w:szCs w:val="28"/>
        </w:rPr>
        <w:t>5</w:t>
      </w:r>
      <w:r>
        <w:rPr>
          <w:rFonts w:hint="eastAsia" w:ascii="宋体" w:hAnsi="宋体"/>
          <w:spacing w:val="4"/>
          <w:sz w:val="28"/>
          <w:szCs w:val="28"/>
        </w:rPr>
        <w:t>、设置自定义安全级别，开放Activex的访问权限：</w:t>
      </w:r>
    </w:p>
    <w:p>
      <w:pPr>
        <w:pStyle w:val="12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5572125" cy="3782695"/>
            <wp:effectExtent l="0" t="0" r="9525" b="825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78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3"/>
        </w:numPr>
        <w:ind w:firstLineChars="0"/>
        <w:rPr>
          <w:rFonts w:ascii="宋体" w:hAnsi="宋体"/>
          <w:spacing w:val="4"/>
          <w:sz w:val="28"/>
          <w:szCs w:val="28"/>
        </w:rPr>
      </w:pPr>
      <w:r>
        <w:rPr>
          <w:rFonts w:hint="eastAsia" w:ascii="宋体" w:hAnsi="宋体"/>
          <w:spacing w:val="4"/>
          <w:sz w:val="28"/>
          <w:szCs w:val="28"/>
        </w:rPr>
        <w:t>会出现一个窗口，把其中的Activex控件和插件的设置全部改为启用。</w:t>
      </w:r>
    </w:p>
    <w:p>
      <w:pPr>
        <w:pStyle w:val="12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5362575" cy="3631565"/>
            <wp:effectExtent l="0" t="0" r="9525" b="6985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76"/>
        <w:rPr>
          <w:rFonts w:ascii="宋体" w:hAnsi="宋体"/>
          <w:spacing w:val="4"/>
          <w:sz w:val="28"/>
          <w:szCs w:val="28"/>
        </w:rPr>
      </w:pPr>
      <w:r>
        <w:rPr>
          <w:rFonts w:hint="eastAsia" w:ascii="宋体" w:hAnsi="宋体" w:cs="宋体"/>
          <w:spacing w:val="4"/>
          <w:sz w:val="28"/>
          <w:szCs w:val="28"/>
        </w:rPr>
        <w:t>②</w:t>
      </w:r>
      <w:r>
        <w:rPr>
          <w:rFonts w:hint="eastAsia" w:ascii="宋体" w:hAnsi="宋体"/>
          <w:spacing w:val="4"/>
          <w:sz w:val="28"/>
          <w:szCs w:val="28"/>
        </w:rPr>
        <w:t>文件下载设置，开放文件下载的权限：设置为启用。</w:t>
      </w:r>
    </w:p>
    <w:p>
      <w:pPr>
        <w:pStyle w:val="12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5303520" cy="3709670"/>
            <wp:effectExtent l="0" t="0" r="11430" b="5080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="689"/>
        <w:rPr>
          <w:szCs w:val="28"/>
        </w:rPr>
      </w:pPr>
      <w:bookmarkStart w:id="13" w:name="_Toc387133156"/>
      <w:bookmarkStart w:id="14" w:name="_Toc346183641"/>
      <w:bookmarkStart w:id="15" w:name="_Toc387148291"/>
      <w:bookmarkStart w:id="16" w:name="_Toc466909466"/>
      <w:bookmarkStart w:id="17" w:name="_Toc422146041"/>
      <w:r>
        <w:rPr>
          <w:rFonts w:hint="eastAsia"/>
          <w:szCs w:val="28"/>
        </w:rPr>
        <w:t>1.2 关闭拦截工具</w:t>
      </w:r>
      <w:bookmarkEnd w:id="13"/>
      <w:bookmarkEnd w:id="14"/>
      <w:bookmarkEnd w:id="15"/>
      <w:bookmarkEnd w:id="16"/>
      <w:bookmarkEnd w:id="17"/>
    </w:p>
    <w:p>
      <w:pPr>
        <w:ind w:firstLine="576"/>
        <w:rPr>
          <w:rFonts w:ascii="宋体" w:hAnsi="宋体"/>
          <w:spacing w:val="4"/>
          <w:sz w:val="28"/>
          <w:szCs w:val="28"/>
        </w:rPr>
      </w:pPr>
      <w:r>
        <w:rPr>
          <w:rFonts w:hint="eastAsia" w:ascii="宋体" w:hAnsi="宋体"/>
          <w:spacing w:val="4"/>
          <w:sz w:val="28"/>
          <w:szCs w:val="28"/>
        </w:rPr>
        <w:t>上述操作完成后，如果系统中某些功能仍不能使用，请将拦截工具关闭再试用。比如在windows工具栏中关闭弹出窗口阻止程序的操作：</w:t>
      </w:r>
    </w:p>
    <w:p>
      <w:pPr>
        <w:pStyle w:val="12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5099050" cy="2320925"/>
            <wp:effectExtent l="0" t="0" r="6350" b="3175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firstLine="843" w:firstLineChars="300"/>
        <w:rPr>
          <w:rFonts w:ascii="思源宋体 CN" w:hAnsi="思源宋体 CN" w:eastAsia="思源宋体 CN"/>
        </w:rPr>
      </w:pPr>
      <w:bookmarkStart w:id="18" w:name="_Toc16790"/>
      <w:bookmarkStart w:id="19" w:name="_Toc33041688"/>
      <w:bookmarkStart w:id="20" w:name="_Toc26360592"/>
      <w:bookmarkStart w:id="21" w:name="_Toc59540566"/>
      <w:r>
        <w:rPr>
          <w:rFonts w:hint="eastAsia" w:ascii="思源宋体 CN" w:hAnsi="思源宋体 CN" w:eastAsia="思源宋体 CN"/>
        </w:rPr>
        <w:t>兼容性视图设置</w:t>
      </w:r>
      <w:bookmarkEnd w:id="18"/>
      <w:bookmarkEnd w:id="19"/>
      <w:bookmarkEnd w:id="20"/>
      <w:bookmarkEnd w:id="21"/>
    </w:p>
    <w:p>
      <w:pPr>
        <w:rPr>
          <w:rFonts w:ascii="思源宋体 CN" w:hAnsi="思源宋体 CN" w:eastAsia="思源宋体 CN"/>
          <w:color w:val="000000"/>
        </w:rPr>
      </w:pPr>
      <w:r>
        <w:rPr>
          <w:rFonts w:hint="eastAsia" w:ascii="思源宋体 CN" w:hAnsi="思源宋体 CN" w:eastAsia="思源宋体 CN"/>
        </w:rPr>
        <w:t>打开“工具”菜单</w:t>
      </w:r>
      <w:r>
        <w:rPr>
          <w:rFonts w:ascii="思源宋体 CN" w:hAnsi="思源宋体 CN" w:eastAsia="思源宋体 CN"/>
        </w:rPr>
        <w:sym w:font="Wingdings" w:char="F0E0"/>
      </w:r>
      <w:r>
        <w:rPr>
          <w:rFonts w:hint="eastAsia" w:ascii="思源宋体 CN" w:hAnsi="思源宋体 CN" w:eastAsia="思源宋体 CN"/>
        </w:rPr>
        <w:t>“兼容性视图设置”，</w:t>
      </w:r>
      <w:r>
        <w:rPr>
          <w:rFonts w:ascii="思源宋体 CN" w:hAnsi="思源宋体 CN" w:eastAsia="思源宋体 CN"/>
          <w:color w:val="000000"/>
        </w:rPr>
        <w:t>点击</w:t>
      </w:r>
      <w:r>
        <w:rPr>
          <w:rFonts w:hint="eastAsia" w:ascii="思源宋体 CN" w:hAnsi="思源宋体 CN" w:eastAsia="思源宋体 CN"/>
          <w:color w:val="000000"/>
        </w:rPr>
        <w:t>“</w:t>
      </w:r>
      <w:r>
        <w:rPr>
          <w:rFonts w:ascii="思源宋体 CN" w:hAnsi="思源宋体 CN" w:eastAsia="思源宋体 CN"/>
          <w:color w:val="000000"/>
        </w:rPr>
        <w:t>添加</w:t>
      </w:r>
      <w:r>
        <w:rPr>
          <w:rFonts w:hint="eastAsia" w:ascii="思源宋体 CN" w:hAnsi="思源宋体 CN" w:eastAsia="思源宋体 CN"/>
          <w:color w:val="000000"/>
        </w:rPr>
        <w:t>”</w:t>
      </w:r>
      <w:r>
        <w:rPr>
          <w:rFonts w:ascii="思源宋体 CN" w:hAnsi="思源宋体 CN" w:eastAsia="思源宋体 CN"/>
          <w:color w:val="000000"/>
        </w:rPr>
        <w:t>按钮完成添加，再按</w:t>
      </w:r>
      <w:r>
        <w:rPr>
          <w:rFonts w:hint="eastAsia" w:ascii="思源宋体 CN" w:hAnsi="思源宋体 CN" w:eastAsia="思源宋体 CN"/>
          <w:color w:val="000000"/>
        </w:rPr>
        <w:t>“</w:t>
      </w:r>
      <w:r>
        <w:rPr>
          <w:rFonts w:ascii="思源宋体 CN" w:hAnsi="思源宋体 CN" w:eastAsia="思源宋体 CN"/>
          <w:color w:val="000000"/>
        </w:rPr>
        <w:t>关闭</w:t>
      </w:r>
      <w:r>
        <w:rPr>
          <w:rFonts w:hint="eastAsia" w:ascii="思源宋体 CN" w:hAnsi="思源宋体 CN" w:eastAsia="思源宋体 CN"/>
          <w:color w:val="000000"/>
        </w:rPr>
        <w:t>”</w:t>
      </w:r>
      <w:r>
        <w:rPr>
          <w:rFonts w:ascii="思源宋体 CN" w:hAnsi="思源宋体 CN" w:eastAsia="思源宋体 CN"/>
          <w:color w:val="000000"/>
        </w:rPr>
        <w:t>按钮退出</w:t>
      </w:r>
      <w:r>
        <w:rPr>
          <w:rFonts w:hint="eastAsia" w:ascii="思源宋体 CN" w:hAnsi="思源宋体 CN" w:eastAsia="思源宋体 CN"/>
          <w:color w:val="000000"/>
        </w:rPr>
        <w:t>。</w:t>
      </w:r>
    </w:p>
    <w:p>
      <w:pPr>
        <w:ind w:left="0" w:leftChars="0" w:firstLine="0" w:firstLineChars="0"/>
        <w:jc w:val="both"/>
        <w:rPr>
          <w:rFonts w:ascii="宋体" w:hAnsi="宋体"/>
          <w:color w:val="000000"/>
        </w:rPr>
      </w:pPr>
      <w:r>
        <w:drawing>
          <wp:inline distT="0" distB="0" distL="114300" distR="114300">
            <wp:extent cx="5182870" cy="3111500"/>
            <wp:effectExtent l="0" t="0" r="17780" b="1270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12"/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4872355" cy="2679700"/>
            <wp:effectExtent l="0" t="0" r="4445" b="6350"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235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rPr>
          <w:sz w:val="28"/>
          <w:szCs w:val="28"/>
        </w:rPr>
      </w:pPr>
    </w:p>
    <w:p>
      <w:pPr>
        <w:pStyle w:val="2"/>
        <w:numPr>
          <w:ilvl w:val="0"/>
          <w:numId w:val="4"/>
        </w:numPr>
        <w:tabs>
          <w:tab w:val="left" w:pos="142"/>
          <w:tab w:val="clear" w:pos="425"/>
        </w:tabs>
        <w:rPr>
          <w:sz w:val="28"/>
        </w:rPr>
      </w:pPr>
      <w:r>
        <w:rPr>
          <w:rFonts w:hint="eastAsia"/>
          <w:sz w:val="28"/>
        </w:rPr>
        <w:t>评标系统</w:t>
      </w:r>
    </w:p>
    <w:p>
      <w:pPr>
        <w:pStyle w:val="3"/>
        <w:numPr>
          <w:ilvl w:val="0"/>
          <w:numId w:val="0"/>
        </w:numPr>
        <w:spacing w:before="0" w:after="0" w:line="480" w:lineRule="exact"/>
        <w:ind w:left="689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.1</w:t>
      </w:r>
      <w:r>
        <w:rPr>
          <w:rFonts w:hint="eastAsia"/>
          <w:sz w:val="28"/>
          <w:szCs w:val="28"/>
        </w:rPr>
        <w:t>、登录评标页面</w:t>
      </w:r>
    </w:p>
    <w:p>
      <w:pPr>
        <w:ind w:firstLine="0" w:firstLineChars="0"/>
        <w:rPr>
          <w:rFonts w:ascii="宋体" w:hAnsi="宋体"/>
          <w:spacing w:val="4"/>
          <w:sz w:val="28"/>
          <w:szCs w:val="28"/>
        </w:rPr>
      </w:pPr>
      <w:r>
        <w:rPr>
          <w:rFonts w:hint="eastAsia" w:ascii="宋体" w:hAnsi="宋体"/>
          <w:spacing w:val="4"/>
          <w:sz w:val="28"/>
          <w:szCs w:val="28"/>
        </w:rPr>
        <w:t>搜索网址</w:t>
      </w:r>
      <w:r>
        <w:fldChar w:fldCharType="begin"/>
      </w:r>
      <w:r>
        <w:instrText xml:space="preserve"> HYPERLINK "https://www.etrading.cn/TPPingBiao/customframe4pb/loginPBNew" </w:instrText>
      </w:r>
      <w:r>
        <w:fldChar w:fldCharType="separate"/>
      </w:r>
      <w:r>
        <w:rPr>
          <w:rFonts w:ascii="宋体" w:hAnsi="宋体"/>
          <w:spacing w:val="4"/>
          <w:sz w:val="28"/>
          <w:szCs w:val="28"/>
        </w:rPr>
        <w:t>https://www.etrading.cn/TPPingBiao/customframe4pb/loginPBNew</w:t>
      </w:r>
      <w:r>
        <w:rPr>
          <w:rFonts w:ascii="宋体" w:hAnsi="宋体"/>
          <w:spacing w:val="4"/>
          <w:sz w:val="28"/>
          <w:szCs w:val="28"/>
        </w:rPr>
        <w:fldChar w:fldCharType="end"/>
      </w:r>
      <w:r>
        <w:rPr>
          <w:rFonts w:hint="eastAsia" w:ascii="宋体" w:hAnsi="宋体"/>
          <w:spacing w:val="4"/>
          <w:sz w:val="28"/>
          <w:szCs w:val="28"/>
        </w:rPr>
        <w:t>，进入评标页面。点击评委登录，选择“用户名登录”输入评委的账号密码进入页面。</w:t>
      </w:r>
      <w:r>
        <w:rPr>
          <w:rFonts w:hint="eastAsia" w:ascii="宋体" w:hAnsi="宋体" w:eastAsia="宋体" w:cs="Times New Roman"/>
          <w:spacing w:val="4"/>
          <w:sz w:val="28"/>
          <w:szCs w:val="28"/>
          <w:lang w:val="en-US" w:eastAsia="zh-CN"/>
        </w:rPr>
        <w:t>评标专家用于评标的电脑首次使用需要进行系统前期设置（添加受信任的站点、启用安全控件、关闭拦截工具添加兼容性视图）。</w:t>
      </w:r>
      <w:r>
        <w:rPr>
          <w:rFonts w:hint="eastAsia" w:ascii="宋体" w:hAnsi="宋体" w:eastAsia="宋体" w:cs="Times New Roman"/>
          <w:spacing w:val="4"/>
          <w:sz w:val="28"/>
          <w:szCs w:val="28"/>
        </w:rPr>
        <w:t>如下图：</w:t>
      </w:r>
    </w:p>
    <w:p>
      <w:pPr>
        <w:ind w:firstLine="0" w:firstLineChars="0"/>
        <w:rPr>
          <w:rFonts w:ascii="宋体" w:hAnsi="宋体"/>
          <w:spacing w:val="4"/>
          <w:sz w:val="28"/>
          <w:szCs w:val="28"/>
        </w:rPr>
      </w:pPr>
      <w:r>
        <w:rPr>
          <w:rFonts w:ascii="宋体" w:hAnsi="宋体"/>
          <w:spacing w:val="4"/>
          <w:sz w:val="28"/>
          <w:szCs w:val="28"/>
        </w:rPr>
        <w:drawing>
          <wp:inline distT="0" distB="0" distL="0" distR="0">
            <wp:extent cx="5274310" cy="226885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pacing w:val="4"/>
          <w:sz w:val="28"/>
          <w:szCs w:val="28"/>
        </w:rPr>
      </w:pPr>
      <w:r>
        <w:rPr>
          <w:rFonts w:ascii="宋体" w:hAnsi="宋体"/>
          <w:spacing w:val="4"/>
          <w:sz w:val="28"/>
          <w:szCs w:val="28"/>
        </w:rPr>
        <w:drawing>
          <wp:inline distT="0" distB="0" distL="0" distR="0">
            <wp:extent cx="5274310" cy="241744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="689" w:hanging="689"/>
        <w:rPr>
          <w:bCs w:val="0"/>
          <w:sz w:val="28"/>
          <w:szCs w:val="28"/>
        </w:rPr>
      </w:pPr>
      <w:r>
        <w:rPr>
          <w:rFonts w:hint="eastAsia"/>
          <w:bCs w:val="0"/>
          <w:sz w:val="28"/>
          <w:szCs w:val="28"/>
        </w:rPr>
        <w:t>2</w:t>
      </w:r>
      <w:r>
        <w:rPr>
          <w:bCs w:val="0"/>
          <w:sz w:val="28"/>
          <w:szCs w:val="28"/>
        </w:rPr>
        <w:t>.2</w:t>
      </w:r>
      <w:r>
        <w:rPr>
          <w:rFonts w:hint="eastAsia"/>
          <w:bCs w:val="0"/>
          <w:sz w:val="28"/>
          <w:szCs w:val="28"/>
        </w:rPr>
        <w:t>、评标</w:t>
      </w:r>
    </w:p>
    <w:p>
      <w:pPr>
        <w:ind w:firstLine="0" w:firstLineChars="0"/>
        <w:rPr>
          <w:rFonts w:ascii="宋体" w:hAnsi="宋体"/>
          <w:spacing w:val="4"/>
          <w:sz w:val="28"/>
          <w:szCs w:val="28"/>
        </w:rPr>
      </w:pPr>
      <w:r>
        <w:rPr>
          <w:rFonts w:hint="eastAsia" w:ascii="宋体" w:hAnsi="宋体"/>
          <w:spacing w:val="4"/>
          <w:sz w:val="28"/>
          <w:szCs w:val="28"/>
        </w:rPr>
        <w:t>2</w:t>
      </w:r>
      <w:r>
        <w:rPr>
          <w:rFonts w:ascii="宋体" w:hAnsi="宋体"/>
          <w:spacing w:val="4"/>
          <w:sz w:val="28"/>
          <w:szCs w:val="28"/>
        </w:rPr>
        <w:t>.2.1</w:t>
      </w:r>
      <w:r>
        <w:rPr>
          <w:rFonts w:hint="eastAsia" w:ascii="宋体" w:hAnsi="宋体"/>
          <w:spacing w:val="4"/>
          <w:sz w:val="28"/>
          <w:szCs w:val="28"/>
        </w:rPr>
        <w:t>、点击“进入项目”，按照流程依次进行操作。首先点击“评标准备”，进入页面。确认是否有需要回避的评委，若没有则点击“不需要回避”，若有需要回避的评委则选择改评委并点击“需要回避”。</w:t>
      </w:r>
    </w:p>
    <w:p>
      <w:pPr>
        <w:ind w:firstLine="0" w:firstLineChars="0"/>
        <w:rPr>
          <w:rFonts w:ascii="宋体" w:hAnsi="宋体"/>
          <w:spacing w:val="4"/>
          <w:sz w:val="28"/>
          <w:szCs w:val="28"/>
        </w:rPr>
      </w:pPr>
      <w:r>
        <w:rPr>
          <w:rFonts w:ascii="宋体" w:hAnsi="宋体"/>
          <w:spacing w:val="4"/>
          <w:sz w:val="28"/>
          <w:szCs w:val="28"/>
        </w:rPr>
        <w:drawing>
          <wp:inline distT="0" distB="0" distL="0" distR="0">
            <wp:extent cx="5274310" cy="2417445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pacing w:val="4"/>
          <w:sz w:val="28"/>
          <w:szCs w:val="28"/>
        </w:rPr>
      </w:pPr>
      <w:r>
        <w:rPr>
          <w:rFonts w:ascii="宋体" w:hAnsi="宋体"/>
          <w:spacing w:val="4"/>
          <w:sz w:val="28"/>
          <w:szCs w:val="28"/>
        </w:rPr>
        <w:drawing>
          <wp:inline distT="0" distB="0" distL="0" distR="0">
            <wp:extent cx="5274310" cy="2417445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宋体" w:hAnsi="宋体"/>
          <w:spacing w:val="4"/>
          <w:sz w:val="28"/>
          <w:szCs w:val="28"/>
        </w:rPr>
      </w:pPr>
      <w:r>
        <w:rPr>
          <w:rFonts w:hint="eastAsia" w:ascii="宋体" w:hAnsi="宋体"/>
          <w:spacing w:val="4"/>
          <w:sz w:val="28"/>
          <w:szCs w:val="28"/>
        </w:rPr>
        <w:t>2</w:t>
      </w:r>
      <w:r>
        <w:rPr>
          <w:rFonts w:ascii="宋体" w:hAnsi="宋体"/>
          <w:spacing w:val="4"/>
          <w:sz w:val="28"/>
          <w:szCs w:val="28"/>
        </w:rPr>
        <w:t>.2.2</w:t>
      </w:r>
      <w:r>
        <w:rPr>
          <w:rFonts w:hint="eastAsia" w:ascii="宋体" w:hAnsi="宋体"/>
          <w:spacing w:val="4"/>
          <w:sz w:val="28"/>
          <w:szCs w:val="28"/>
        </w:rPr>
        <w:t>、点击“推荐评委负责人”，选择推荐评委员会组长。确认完成后，选择“下一步”。如下图：</w:t>
      </w:r>
    </w:p>
    <w:p>
      <w:pPr>
        <w:ind w:firstLine="0" w:firstLineChars="0"/>
        <w:jc w:val="center"/>
        <w:rPr>
          <w:rFonts w:ascii="宋体" w:hAnsi="宋体"/>
          <w:spacing w:val="4"/>
          <w:sz w:val="28"/>
          <w:szCs w:val="28"/>
        </w:rPr>
      </w:pPr>
      <w:r>
        <w:rPr>
          <w:rFonts w:ascii="宋体" w:hAnsi="宋体"/>
          <w:spacing w:val="4"/>
          <w:sz w:val="28"/>
          <w:szCs w:val="28"/>
        </w:rPr>
        <w:drawing>
          <wp:inline distT="0" distB="0" distL="0" distR="0">
            <wp:extent cx="4902200" cy="2246630"/>
            <wp:effectExtent l="0" t="0" r="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10655" cy="225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宋体" w:hAnsi="宋体"/>
          <w:spacing w:val="4"/>
          <w:sz w:val="28"/>
          <w:szCs w:val="28"/>
        </w:rPr>
      </w:pPr>
      <w:r>
        <w:rPr>
          <w:rFonts w:ascii="宋体" w:hAnsi="宋体"/>
          <w:spacing w:val="4"/>
          <w:sz w:val="28"/>
          <w:szCs w:val="28"/>
        </w:rPr>
        <w:drawing>
          <wp:inline distT="0" distB="0" distL="0" distR="0">
            <wp:extent cx="4932045" cy="2260600"/>
            <wp:effectExtent l="0" t="0" r="1905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53621" cy="227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pacing w:val="4"/>
          <w:sz w:val="28"/>
          <w:szCs w:val="28"/>
        </w:rPr>
      </w:pPr>
      <w:r>
        <w:rPr>
          <w:rFonts w:hint="eastAsia" w:ascii="宋体" w:hAnsi="宋体"/>
          <w:spacing w:val="4"/>
          <w:sz w:val="28"/>
          <w:szCs w:val="28"/>
        </w:rPr>
        <w:t>2</w:t>
      </w:r>
      <w:r>
        <w:rPr>
          <w:rFonts w:ascii="宋体" w:hAnsi="宋体"/>
          <w:spacing w:val="4"/>
          <w:sz w:val="28"/>
          <w:szCs w:val="28"/>
        </w:rPr>
        <w:t>.2.3</w:t>
      </w:r>
      <w:r>
        <w:rPr>
          <w:rFonts w:hint="eastAsia" w:ascii="宋体" w:hAnsi="宋体"/>
          <w:spacing w:val="4"/>
          <w:sz w:val="28"/>
          <w:szCs w:val="28"/>
        </w:rPr>
        <w:t>、点击“经济”，进入页面。首先进行评委评分，评分完成后，点击“确认提交”。提交成功后，评委员会组长进行汇总，点击“经济汇总”，若无问题则点击“确定”，若有问题则点击“退回重评”按钮，让评委重新评分。如下图：</w:t>
      </w:r>
    </w:p>
    <w:p>
      <w:pPr>
        <w:ind w:firstLine="0" w:firstLineChars="0"/>
        <w:jc w:val="center"/>
        <w:rPr>
          <w:rFonts w:ascii="宋体" w:hAnsi="宋体"/>
          <w:spacing w:val="4"/>
          <w:sz w:val="28"/>
          <w:szCs w:val="28"/>
        </w:rPr>
      </w:pPr>
      <w:r>
        <w:rPr>
          <w:rFonts w:ascii="宋体" w:hAnsi="宋体"/>
          <w:spacing w:val="4"/>
          <w:sz w:val="28"/>
          <w:szCs w:val="28"/>
        </w:rPr>
        <w:drawing>
          <wp:inline distT="0" distB="0" distL="0" distR="0">
            <wp:extent cx="5104130" cy="2419350"/>
            <wp:effectExtent l="0" t="0" r="127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26478" cy="242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pacing w:val="4"/>
          <w:sz w:val="28"/>
          <w:szCs w:val="28"/>
        </w:rPr>
      </w:pPr>
      <w:r>
        <w:rPr>
          <w:rFonts w:ascii="宋体" w:hAnsi="宋体"/>
          <w:spacing w:val="4"/>
          <w:sz w:val="28"/>
          <w:szCs w:val="28"/>
        </w:rPr>
        <w:drawing>
          <wp:inline distT="0" distB="0" distL="0" distR="0">
            <wp:extent cx="5274310" cy="2417445"/>
            <wp:effectExtent l="0" t="0" r="254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pacing w:val="4"/>
          <w:sz w:val="28"/>
          <w:szCs w:val="28"/>
        </w:rPr>
      </w:pPr>
      <w:r>
        <w:rPr>
          <w:rFonts w:ascii="宋体" w:hAnsi="宋体"/>
          <w:spacing w:val="4"/>
          <w:sz w:val="28"/>
          <w:szCs w:val="28"/>
        </w:rPr>
        <w:drawing>
          <wp:inline distT="0" distB="0" distL="0" distR="0">
            <wp:extent cx="5274310" cy="2417445"/>
            <wp:effectExtent l="0" t="0" r="254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pacing w:val="4"/>
          <w:sz w:val="28"/>
          <w:szCs w:val="28"/>
        </w:rPr>
      </w:pPr>
      <w:r>
        <w:rPr>
          <w:rFonts w:ascii="宋体" w:hAnsi="宋体"/>
          <w:spacing w:val="4"/>
          <w:sz w:val="28"/>
          <w:szCs w:val="28"/>
        </w:rPr>
        <w:drawing>
          <wp:inline distT="0" distB="0" distL="0" distR="0">
            <wp:extent cx="5274310" cy="2417445"/>
            <wp:effectExtent l="0" t="0" r="254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宋体" w:hAnsi="宋体"/>
          <w:spacing w:val="4"/>
          <w:sz w:val="28"/>
          <w:szCs w:val="28"/>
        </w:rPr>
      </w:pPr>
      <w:r>
        <w:rPr>
          <w:rFonts w:ascii="宋体" w:hAnsi="宋体"/>
          <w:spacing w:val="4"/>
          <w:sz w:val="28"/>
          <w:szCs w:val="28"/>
        </w:rPr>
        <w:drawing>
          <wp:inline distT="0" distB="0" distL="0" distR="0">
            <wp:extent cx="5274310" cy="2417445"/>
            <wp:effectExtent l="0" t="0" r="254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宋体" w:hAnsi="宋体"/>
          <w:spacing w:val="4"/>
          <w:sz w:val="28"/>
          <w:szCs w:val="28"/>
        </w:rPr>
      </w:pPr>
      <w:r>
        <w:rPr>
          <w:rFonts w:hint="eastAsia" w:ascii="宋体" w:hAnsi="宋体"/>
          <w:spacing w:val="4"/>
          <w:sz w:val="28"/>
          <w:szCs w:val="28"/>
        </w:rPr>
        <w:t>2</w:t>
      </w:r>
      <w:r>
        <w:rPr>
          <w:rFonts w:ascii="宋体" w:hAnsi="宋体"/>
          <w:spacing w:val="4"/>
          <w:sz w:val="28"/>
          <w:szCs w:val="28"/>
        </w:rPr>
        <w:t>.2.4</w:t>
      </w:r>
      <w:r>
        <w:rPr>
          <w:rFonts w:hint="eastAsia" w:ascii="宋体" w:hAnsi="宋体"/>
          <w:spacing w:val="4"/>
          <w:sz w:val="28"/>
          <w:szCs w:val="28"/>
        </w:rPr>
        <w:t>、点击“下一步—技术”按钮，操作步骤同上。如下图：</w:t>
      </w:r>
    </w:p>
    <w:p>
      <w:pPr>
        <w:ind w:firstLine="0" w:firstLineChars="0"/>
        <w:rPr>
          <w:rFonts w:ascii="宋体" w:hAnsi="宋体"/>
          <w:spacing w:val="4"/>
          <w:sz w:val="28"/>
          <w:szCs w:val="28"/>
        </w:rPr>
      </w:pPr>
      <w:r>
        <w:rPr>
          <w:rFonts w:ascii="宋体" w:hAnsi="宋体"/>
          <w:spacing w:val="4"/>
          <w:sz w:val="28"/>
          <w:szCs w:val="28"/>
        </w:rPr>
        <w:drawing>
          <wp:inline distT="0" distB="0" distL="0" distR="0">
            <wp:extent cx="5274310" cy="2417445"/>
            <wp:effectExtent l="0" t="0" r="254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宋体" w:hAnsi="宋体"/>
          <w:spacing w:val="4"/>
          <w:sz w:val="28"/>
          <w:szCs w:val="28"/>
        </w:rPr>
      </w:pPr>
      <w:r>
        <w:rPr>
          <w:rFonts w:ascii="宋体" w:hAnsi="宋体"/>
          <w:spacing w:val="4"/>
          <w:sz w:val="28"/>
          <w:szCs w:val="28"/>
        </w:rPr>
        <w:drawing>
          <wp:inline distT="0" distB="0" distL="0" distR="0">
            <wp:extent cx="5274310" cy="2417445"/>
            <wp:effectExtent l="0" t="0" r="2540" b="19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pacing w:val="4"/>
          <w:sz w:val="28"/>
          <w:szCs w:val="28"/>
        </w:rPr>
      </w:pPr>
      <w:r>
        <w:rPr>
          <w:rFonts w:ascii="宋体" w:hAnsi="宋体"/>
          <w:spacing w:val="4"/>
          <w:sz w:val="28"/>
          <w:szCs w:val="28"/>
        </w:rPr>
        <w:drawing>
          <wp:inline distT="0" distB="0" distL="0" distR="0">
            <wp:extent cx="5274310" cy="2417445"/>
            <wp:effectExtent l="0" t="0" r="254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pacing w:val="4"/>
          <w:sz w:val="28"/>
          <w:szCs w:val="28"/>
        </w:rPr>
      </w:pPr>
      <w:r>
        <w:rPr>
          <w:rFonts w:ascii="宋体" w:hAnsi="宋体"/>
          <w:spacing w:val="4"/>
          <w:sz w:val="28"/>
          <w:szCs w:val="28"/>
        </w:rPr>
        <w:drawing>
          <wp:inline distT="0" distB="0" distL="0" distR="0">
            <wp:extent cx="5274310" cy="2417445"/>
            <wp:effectExtent l="0" t="0" r="254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宋体" w:hAnsi="宋体"/>
          <w:spacing w:val="4"/>
          <w:sz w:val="28"/>
          <w:szCs w:val="28"/>
        </w:rPr>
      </w:pPr>
      <w:r>
        <w:rPr>
          <w:rFonts w:ascii="宋体" w:hAnsi="宋体"/>
          <w:spacing w:val="4"/>
          <w:sz w:val="28"/>
          <w:szCs w:val="28"/>
        </w:rPr>
        <w:drawing>
          <wp:inline distT="0" distB="0" distL="0" distR="0">
            <wp:extent cx="5084445" cy="2330450"/>
            <wp:effectExtent l="0" t="0" r="190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93726" cy="233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="689" w:hanging="689"/>
        <w:rPr>
          <w:rFonts w:ascii="宋体" w:hAnsi="宋体"/>
          <w:spacing w:val="4"/>
          <w:sz w:val="28"/>
          <w:szCs w:val="28"/>
        </w:rPr>
      </w:pPr>
      <w:r>
        <w:rPr>
          <w:bCs w:val="0"/>
          <w:sz w:val="28"/>
          <w:szCs w:val="28"/>
        </w:rPr>
        <w:t>2.3</w:t>
      </w:r>
      <w:r>
        <w:rPr>
          <w:rFonts w:hint="eastAsia"/>
          <w:bCs w:val="0"/>
          <w:sz w:val="28"/>
          <w:szCs w:val="28"/>
        </w:rPr>
        <w:t>、评标结束</w:t>
      </w:r>
    </w:p>
    <w:p>
      <w:pPr>
        <w:ind w:firstLine="0" w:firstLineChars="0"/>
        <w:rPr>
          <w:rFonts w:hint="eastAsia" w:ascii="宋体" w:hAnsi="宋体"/>
          <w:spacing w:val="4"/>
          <w:sz w:val="28"/>
          <w:szCs w:val="28"/>
        </w:rPr>
      </w:pPr>
      <w:r>
        <w:rPr>
          <w:rFonts w:hint="eastAsia" w:ascii="宋体" w:hAnsi="宋体"/>
          <w:spacing w:val="4"/>
          <w:sz w:val="28"/>
          <w:szCs w:val="28"/>
        </w:rPr>
        <w:t>2</w:t>
      </w:r>
      <w:r>
        <w:rPr>
          <w:rFonts w:ascii="宋体" w:hAnsi="宋体"/>
          <w:spacing w:val="4"/>
          <w:sz w:val="28"/>
          <w:szCs w:val="28"/>
        </w:rPr>
        <w:t>.3.1</w:t>
      </w:r>
      <w:r>
        <w:rPr>
          <w:rFonts w:hint="eastAsia" w:ascii="宋体" w:hAnsi="宋体"/>
          <w:spacing w:val="4"/>
          <w:sz w:val="28"/>
          <w:szCs w:val="28"/>
        </w:rPr>
        <w:t>、点击“下一步—评标结束”按钮，评委员会组长首先进行确认。若无问题则点击“组长确认”。如下图</w:t>
      </w:r>
    </w:p>
    <w:p>
      <w:pPr>
        <w:ind w:firstLine="0" w:firstLineChars="0"/>
        <w:jc w:val="center"/>
        <w:rPr>
          <w:rFonts w:hint="eastAsia" w:ascii="宋体" w:hAnsi="宋体"/>
          <w:spacing w:val="4"/>
          <w:sz w:val="28"/>
          <w:szCs w:val="28"/>
        </w:rPr>
      </w:pPr>
      <w:r>
        <w:rPr>
          <w:rFonts w:ascii="宋体" w:hAnsi="宋体"/>
          <w:spacing w:val="4"/>
          <w:sz w:val="28"/>
          <w:szCs w:val="28"/>
        </w:rPr>
        <w:drawing>
          <wp:inline distT="0" distB="0" distL="0" distR="0">
            <wp:extent cx="4991100" cy="228727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16347" cy="2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宋体" w:hAnsi="宋体"/>
          <w:spacing w:val="4"/>
          <w:sz w:val="28"/>
          <w:szCs w:val="28"/>
        </w:rPr>
      </w:pPr>
      <w:r>
        <w:rPr>
          <w:rFonts w:ascii="宋体" w:hAnsi="宋体"/>
          <w:spacing w:val="4"/>
          <w:sz w:val="28"/>
          <w:szCs w:val="28"/>
        </w:rPr>
        <w:drawing>
          <wp:inline distT="0" distB="0" distL="0" distR="0">
            <wp:extent cx="5001260" cy="2292350"/>
            <wp:effectExtent l="0" t="0" r="889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12191" cy="229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宋体" w:hAnsi="宋体"/>
          <w:spacing w:val="4"/>
          <w:sz w:val="28"/>
          <w:szCs w:val="28"/>
        </w:rPr>
      </w:pPr>
      <w:r>
        <w:rPr>
          <w:rFonts w:hint="eastAsia" w:ascii="宋体" w:hAnsi="宋体"/>
          <w:spacing w:val="4"/>
          <w:sz w:val="28"/>
          <w:szCs w:val="28"/>
        </w:rPr>
        <w:t>2</w:t>
      </w:r>
      <w:r>
        <w:rPr>
          <w:rFonts w:ascii="宋体" w:hAnsi="宋体"/>
          <w:spacing w:val="4"/>
          <w:sz w:val="28"/>
          <w:szCs w:val="28"/>
        </w:rPr>
        <w:t>.3.2</w:t>
      </w:r>
      <w:r>
        <w:rPr>
          <w:rFonts w:hint="eastAsia" w:ascii="宋体" w:hAnsi="宋体"/>
          <w:spacing w:val="4"/>
          <w:sz w:val="28"/>
          <w:szCs w:val="28"/>
        </w:rPr>
        <w:t>、组长点击“确定中标人”，选择“选择”按钮，挑选中标人及中标候选人。选择完成后，点击“确认中标人”。如下图：</w:t>
      </w:r>
    </w:p>
    <w:p>
      <w:pPr>
        <w:ind w:firstLine="0" w:firstLineChars="0"/>
        <w:rPr>
          <w:rFonts w:ascii="宋体" w:hAnsi="宋体"/>
          <w:spacing w:val="4"/>
          <w:sz w:val="28"/>
          <w:szCs w:val="28"/>
        </w:rPr>
      </w:pPr>
      <w:r>
        <w:rPr>
          <w:rFonts w:ascii="宋体" w:hAnsi="宋体"/>
          <w:spacing w:val="4"/>
          <w:sz w:val="28"/>
          <w:szCs w:val="28"/>
        </w:rPr>
        <w:drawing>
          <wp:inline distT="0" distB="0" distL="0" distR="0">
            <wp:extent cx="5274310" cy="2417445"/>
            <wp:effectExtent l="0" t="0" r="2540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pacing w:val="4"/>
          <w:sz w:val="28"/>
          <w:szCs w:val="28"/>
        </w:rPr>
      </w:pPr>
      <w:r>
        <w:rPr>
          <w:rFonts w:ascii="宋体" w:hAnsi="宋体"/>
          <w:spacing w:val="4"/>
          <w:sz w:val="28"/>
          <w:szCs w:val="28"/>
        </w:rPr>
        <w:drawing>
          <wp:inline distT="0" distB="0" distL="0" distR="0">
            <wp:extent cx="5274310" cy="2417445"/>
            <wp:effectExtent l="0" t="0" r="2540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pacing w:val="4"/>
          <w:sz w:val="28"/>
          <w:szCs w:val="28"/>
        </w:rPr>
      </w:pPr>
      <w:r>
        <w:rPr>
          <w:rFonts w:ascii="宋体" w:hAnsi="宋体"/>
          <w:spacing w:val="4"/>
          <w:sz w:val="28"/>
          <w:szCs w:val="28"/>
        </w:rPr>
        <w:drawing>
          <wp:inline distT="0" distB="0" distL="0" distR="0">
            <wp:extent cx="5274310" cy="2417445"/>
            <wp:effectExtent l="0" t="0" r="254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宋体" w:hAnsi="宋体"/>
          <w:spacing w:val="4"/>
          <w:sz w:val="28"/>
          <w:szCs w:val="28"/>
        </w:rPr>
      </w:pPr>
      <w:r>
        <w:rPr>
          <w:rFonts w:hint="eastAsia" w:ascii="宋体" w:hAnsi="宋体"/>
          <w:spacing w:val="4"/>
          <w:sz w:val="28"/>
          <w:szCs w:val="28"/>
        </w:rPr>
        <w:t>2</w:t>
      </w:r>
      <w:r>
        <w:rPr>
          <w:rFonts w:ascii="宋体" w:hAnsi="宋体"/>
          <w:spacing w:val="4"/>
          <w:sz w:val="28"/>
          <w:szCs w:val="28"/>
        </w:rPr>
        <w:t>.3.3</w:t>
      </w:r>
      <w:r>
        <w:rPr>
          <w:rFonts w:hint="eastAsia" w:ascii="宋体" w:hAnsi="宋体"/>
          <w:spacing w:val="4"/>
          <w:sz w:val="28"/>
          <w:szCs w:val="28"/>
        </w:rPr>
        <w:t>、点击“评委签章”，各评委依次进行签章。如下图：</w:t>
      </w:r>
    </w:p>
    <w:p>
      <w:pPr>
        <w:ind w:firstLine="0" w:firstLineChars="0"/>
        <w:rPr>
          <w:rFonts w:ascii="宋体" w:hAnsi="宋体"/>
          <w:spacing w:val="4"/>
          <w:sz w:val="28"/>
          <w:szCs w:val="28"/>
        </w:rPr>
      </w:pPr>
      <w:r>
        <w:rPr>
          <w:rFonts w:ascii="宋体" w:hAnsi="宋体"/>
          <w:spacing w:val="4"/>
          <w:sz w:val="28"/>
          <w:szCs w:val="28"/>
        </w:rPr>
        <w:drawing>
          <wp:inline distT="0" distB="0" distL="0" distR="0">
            <wp:extent cx="5274310" cy="2417445"/>
            <wp:effectExtent l="0" t="0" r="254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宋体" w:hAnsi="宋体"/>
          <w:spacing w:val="4"/>
          <w:sz w:val="28"/>
          <w:szCs w:val="28"/>
        </w:rPr>
      </w:pPr>
      <w:r>
        <w:rPr>
          <w:rFonts w:hint="eastAsia" w:ascii="宋体" w:hAnsi="宋体"/>
          <w:spacing w:val="4"/>
          <w:sz w:val="28"/>
          <w:szCs w:val="28"/>
        </w:rPr>
        <w:t>2</w:t>
      </w:r>
      <w:r>
        <w:rPr>
          <w:rFonts w:ascii="宋体" w:hAnsi="宋体"/>
          <w:spacing w:val="4"/>
          <w:sz w:val="28"/>
          <w:szCs w:val="28"/>
        </w:rPr>
        <w:t>.3.4</w:t>
      </w:r>
      <w:r>
        <w:rPr>
          <w:rFonts w:hint="eastAsia" w:ascii="宋体" w:hAnsi="宋体"/>
          <w:spacing w:val="4"/>
          <w:sz w:val="28"/>
          <w:szCs w:val="28"/>
        </w:rPr>
        <w:t>、签章完成后，评委员会组长点击“评标结束”按钮，则改评标结束。如下图：</w:t>
      </w:r>
    </w:p>
    <w:p>
      <w:pPr>
        <w:ind w:firstLine="0" w:firstLineChars="0"/>
        <w:rPr>
          <w:rFonts w:ascii="宋体" w:hAnsi="宋体"/>
          <w:spacing w:val="4"/>
          <w:sz w:val="28"/>
          <w:szCs w:val="28"/>
        </w:rPr>
      </w:pPr>
      <w:r>
        <w:rPr>
          <w:rFonts w:ascii="宋体" w:hAnsi="宋体"/>
          <w:spacing w:val="4"/>
          <w:sz w:val="28"/>
          <w:szCs w:val="28"/>
        </w:rPr>
        <w:drawing>
          <wp:inline distT="0" distB="0" distL="0" distR="0">
            <wp:extent cx="5274310" cy="2417445"/>
            <wp:effectExtent l="0" t="0" r="2540" b="19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pacing w:val="4"/>
          <w:sz w:val="28"/>
          <w:szCs w:val="28"/>
        </w:rPr>
      </w:pPr>
      <w:r>
        <w:rPr>
          <w:rFonts w:ascii="宋体" w:hAnsi="宋体"/>
          <w:spacing w:val="4"/>
          <w:sz w:val="28"/>
          <w:szCs w:val="28"/>
        </w:rPr>
        <w:drawing>
          <wp:inline distT="0" distB="0" distL="0" distR="0">
            <wp:extent cx="5274310" cy="2417445"/>
            <wp:effectExtent l="0" t="0" r="2540" b="19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pacing w:val="4"/>
          <w:sz w:val="28"/>
          <w:szCs w:val="28"/>
        </w:rPr>
      </w:pPr>
    </w:p>
    <w:p>
      <w:pPr>
        <w:ind w:firstLine="0" w:firstLineChars="0"/>
        <w:rPr>
          <w:rFonts w:ascii="宋体" w:hAnsi="宋体"/>
          <w:color w:val="FF0000"/>
          <w:spacing w:val="4"/>
          <w:sz w:val="28"/>
          <w:szCs w:val="28"/>
        </w:rPr>
      </w:pPr>
      <w:r>
        <w:rPr>
          <w:rFonts w:hint="eastAsia" w:ascii="宋体" w:hAnsi="宋体"/>
          <w:color w:val="FF0000"/>
          <w:spacing w:val="4"/>
          <w:sz w:val="28"/>
          <w:szCs w:val="28"/>
        </w:rPr>
        <w:t>注：多轮报价与澄清功能操作步骤如下：</w:t>
      </w:r>
    </w:p>
    <w:p>
      <w:pPr>
        <w:ind w:firstLine="0" w:firstLineChars="0"/>
        <w:rPr>
          <w:rFonts w:hint="eastAsia" w:ascii="宋体" w:hAnsi="宋体"/>
          <w:spacing w:val="4"/>
          <w:sz w:val="28"/>
          <w:szCs w:val="28"/>
        </w:rPr>
      </w:pPr>
      <w:r>
        <w:rPr>
          <w:rFonts w:hint="eastAsia" w:ascii="宋体" w:hAnsi="宋体"/>
          <w:spacing w:val="4"/>
          <w:sz w:val="28"/>
          <w:szCs w:val="28"/>
        </w:rPr>
        <w:t>1</w:t>
      </w:r>
      <w:r>
        <w:rPr>
          <w:rFonts w:ascii="宋体" w:hAnsi="宋体"/>
          <w:spacing w:val="4"/>
          <w:sz w:val="28"/>
          <w:szCs w:val="28"/>
        </w:rPr>
        <w:t>.</w:t>
      </w:r>
      <w:r>
        <w:rPr>
          <w:rFonts w:hint="eastAsia" w:ascii="宋体" w:hAnsi="宋体"/>
          <w:spacing w:val="4"/>
          <w:sz w:val="28"/>
          <w:szCs w:val="28"/>
        </w:rPr>
        <w:t>点击左上角黑色图标，可以看到多轮报价与澄清按钮，如下图：</w:t>
      </w:r>
    </w:p>
    <w:p>
      <w:pPr>
        <w:ind w:firstLine="0" w:firstLineChars="0"/>
        <w:rPr>
          <w:rFonts w:ascii="宋体" w:hAnsi="宋体"/>
          <w:spacing w:val="4"/>
          <w:sz w:val="28"/>
          <w:szCs w:val="28"/>
        </w:rPr>
      </w:pPr>
      <w:r>
        <w:drawing>
          <wp:inline distT="0" distB="0" distL="0" distR="0">
            <wp:extent cx="5274310" cy="2417445"/>
            <wp:effectExtent l="0" t="0" r="2540" b="190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宋体" w:hAnsi="宋体"/>
          <w:spacing w:val="4"/>
          <w:sz w:val="28"/>
          <w:szCs w:val="28"/>
        </w:rPr>
      </w:pPr>
      <w:r>
        <w:rPr>
          <w:rFonts w:hint="eastAsia" w:ascii="宋体" w:hAnsi="宋体"/>
          <w:spacing w:val="4"/>
          <w:sz w:val="28"/>
          <w:szCs w:val="28"/>
        </w:rPr>
        <w:t>2</w:t>
      </w:r>
      <w:r>
        <w:rPr>
          <w:rFonts w:ascii="宋体" w:hAnsi="宋体"/>
          <w:spacing w:val="4"/>
          <w:sz w:val="28"/>
          <w:szCs w:val="28"/>
        </w:rPr>
        <w:t>.</w:t>
      </w:r>
      <w:r>
        <w:rPr>
          <w:rFonts w:hint="eastAsia" w:ascii="宋体" w:hAnsi="宋体"/>
          <w:spacing w:val="4"/>
          <w:sz w:val="28"/>
          <w:szCs w:val="28"/>
        </w:rPr>
        <w:t>点击“多轮报价—开始下一轮报价”，选择报价时间。若投标人报价完成后，评委可直接点击“当前轮次评议结束”。点击“确认最终报价”按钮，则表示结束多轮报价。如下图：</w:t>
      </w:r>
    </w:p>
    <w:p>
      <w:pPr>
        <w:ind w:firstLine="0" w:firstLineChars="0"/>
        <w:rPr>
          <w:rFonts w:ascii="宋体" w:hAnsi="宋体"/>
          <w:spacing w:val="4"/>
          <w:sz w:val="28"/>
          <w:szCs w:val="28"/>
        </w:rPr>
      </w:pPr>
      <w:r>
        <w:drawing>
          <wp:inline distT="0" distB="0" distL="0" distR="0">
            <wp:extent cx="5274310" cy="2417445"/>
            <wp:effectExtent l="0" t="0" r="2540" b="190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pacing w:val="4"/>
          <w:sz w:val="28"/>
          <w:szCs w:val="28"/>
        </w:rPr>
      </w:pPr>
      <w:r>
        <w:drawing>
          <wp:inline distT="0" distB="0" distL="0" distR="0">
            <wp:extent cx="5274310" cy="2417445"/>
            <wp:effectExtent l="0" t="0" r="2540" b="190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宋体" w:hAnsi="宋体"/>
          <w:spacing w:val="4"/>
          <w:sz w:val="28"/>
          <w:szCs w:val="28"/>
        </w:rPr>
      </w:pPr>
      <w:r>
        <w:rPr>
          <w:rFonts w:hint="eastAsia" w:ascii="宋体" w:hAnsi="宋体"/>
          <w:spacing w:val="4"/>
          <w:sz w:val="28"/>
          <w:szCs w:val="28"/>
        </w:rPr>
        <w:t>3</w:t>
      </w:r>
      <w:r>
        <w:rPr>
          <w:rFonts w:ascii="宋体" w:hAnsi="宋体"/>
          <w:spacing w:val="4"/>
          <w:sz w:val="28"/>
          <w:szCs w:val="28"/>
        </w:rPr>
        <w:t>.</w:t>
      </w:r>
      <w:r>
        <w:rPr>
          <w:rFonts w:hint="eastAsia" w:ascii="宋体" w:hAnsi="宋体"/>
          <w:spacing w:val="4"/>
          <w:sz w:val="28"/>
          <w:szCs w:val="28"/>
        </w:rPr>
        <w:t>点击“澄清—新增澄清”按钮，填写相应的内容，并选择澄清单位。点击“发出澄清”按钮，投标单位则可进行澄清回复，投标单位进行澄清回复后可在当前页面进行查看。</w:t>
      </w:r>
    </w:p>
    <w:p>
      <w:pPr>
        <w:ind w:firstLine="0" w:firstLineChars="0"/>
        <w:rPr>
          <w:rFonts w:ascii="宋体" w:hAnsi="宋体"/>
          <w:spacing w:val="4"/>
          <w:sz w:val="28"/>
          <w:szCs w:val="28"/>
        </w:rPr>
      </w:pPr>
      <w:r>
        <w:drawing>
          <wp:inline distT="0" distB="0" distL="0" distR="0">
            <wp:extent cx="5274310" cy="2417445"/>
            <wp:effectExtent l="0" t="0" r="2540" b="19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宋体" w:hAnsi="宋体"/>
          <w:spacing w:val="4"/>
          <w:sz w:val="28"/>
          <w:szCs w:val="28"/>
        </w:rPr>
      </w:pPr>
      <w:r>
        <w:drawing>
          <wp:inline distT="0" distB="0" distL="0" distR="0">
            <wp:extent cx="5274310" cy="2417445"/>
            <wp:effectExtent l="0" t="0" r="2540" b="190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思源宋体 CN">
    <w:altName w:val="宋体"/>
    <w:panose1 w:val="02020400000000000000"/>
    <w:charset w:val="86"/>
    <w:family w:val="roman"/>
    <w:pitch w:val="default"/>
    <w:sig w:usb0="00000000" w:usb1="00000000" w:usb2="00000016" w:usb3="00000000" w:csb0="0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2" name="文本框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wnAOgr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C8JwDo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363CDB"/>
    <w:multiLevelType w:val="multilevel"/>
    <w:tmpl w:val="0B363CDB"/>
    <w:lvl w:ilvl="0" w:tentative="0">
      <w:start w:val="1"/>
      <w:numFmt w:val="decimalEnclosedCircle"/>
      <w:lvlText w:val="%1"/>
      <w:lvlJc w:val="left"/>
      <w:pPr>
        <w:ind w:left="796" w:hanging="360"/>
      </w:pPr>
      <w:rPr>
        <w:rFonts w:cs="宋体"/>
      </w:rPr>
    </w:lvl>
    <w:lvl w:ilvl="1" w:tentative="0">
      <w:start w:val="1"/>
      <w:numFmt w:val="lowerLetter"/>
      <w:lvlText w:val="%2)"/>
      <w:lvlJc w:val="left"/>
      <w:pPr>
        <w:ind w:left="1276" w:hanging="420"/>
      </w:pPr>
    </w:lvl>
    <w:lvl w:ilvl="2" w:tentative="0">
      <w:start w:val="1"/>
      <w:numFmt w:val="lowerRoman"/>
      <w:lvlText w:val="%3."/>
      <w:lvlJc w:val="right"/>
      <w:pPr>
        <w:ind w:left="1696" w:hanging="420"/>
      </w:pPr>
    </w:lvl>
    <w:lvl w:ilvl="3" w:tentative="0">
      <w:start w:val="1"/>
      <w:numFmt w:val="decimal"/>
      <w:lvlText w:val="%4."/>
      <w:lvlJc w:val="left"/>
      <w:pPr>
        <w:ind w:left="2116" w:hanging="420"/>
      </w:pPr>
    </w:lvl>
    <w:lvl w:ilvl="4" w:tentative="0">
      <w:start w:val="1"/>
      <w:numFmt w:val="lowerLetter"/>
      <w:lvlText w:val="%5)"/>
      <w:lvlJc w:val="left"/>
      <w:pPr>
        <w:ind w:left="2536" w:hanging="420"/>
      </w:pPr>
    </w:lvl>
    <w:lvl w:ilvl="5" w:tentative="0">
      <w:start w:val="1"/>
      <w:numFmt w:val="lowerRoman"/>
      <w:lvlText w:val="%6."/>
      <w:lvlJc w:val="right"/>
      <w:pPr>
        <w:ind w:left="2956" w:hanging="420"/>
      </w:pPr>
    </w:lvl>
    <w:lvl w:ilvl="6" w:tentative="0">
      <w:start w:val="1"/>
      <w:numFmt w:val="decimal"/>
      <w:lvlText w:val="%7."/>
      <w:lvlJc w:val="left"/>
      <w:pPr>
        <w:ind w:left="3376" w:hanging="420"/>
      </w:pPr>
    </w:lvl>
    <w:lvl w:ilvl="7" w:tentative="0">
      <w:start w:val="1"/>
      <w:numFmt w:val="lowerLetter"/>
      <w:lvlText w:val="%8)"/>
      <w:lvlJc w:val="left"/>
      <w:pPr>
        <w:ind w:left="3796" w:hanging="420"/>
      </w:pPr>
    </w:lvl>
    <w:lvl w:ilvl="8" w:tentative="0">
      <w:start w:val="1"/>
      <w:numFmt w:val="lowerRoman"/>
      <w:lvlText w:val="%9."/>
      <w:lvlJc w:val="right"/>
      <w:pPr>
        <w:ind w:left="4216" w:hanging="420"/>
      </w:pPr>
    </w:lvl>
  </w:abstractNum>
  <w:abstractNum w:abstractNumId="1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432" w:hanging="432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284" w:hanging="284"/>
      </w:pPr>
      <w:rPr>
        <w:rFonts w:hint="eastAsia"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689" w:hanging="720"/>
      </w:pPr>
      <w:rPr>
        <w:rFonts w:hint="eastAsia"/>
      </w:rPr>
    </w:lvl>
    <w:lvl w:ilvl="3" w:tentative="0">
      <w:start w:val="1"/>
      <w:numFmt w:val="decimal"/>
      <w:isLgl/>
      <w:lvlText w:val="%1.%2.%3.%4、"/>
      <w:lvlJc w:val="left"/>
      <w:pPr>
        <w:ind w:left="833" w:hanging="864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2">
    <w:nsid w:val="68B00135"/>
    <w:multiLevelType w:val="multilevel"/>
    <w:tmpl w:val="68B00135"/>
    <w:lvl w:ilvl="0" w:tentative="0">
      <w:start w:val="2"/>
      <w:numFmt w:val="japaneseCounting"/>
      <w:lvlText w:val="%1、"/>
      <w:lvlJc w:val="left"/>
      <w:pPr>
        <w:ind w:left="1152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72" w:hanging="420"/>
      </w:pPr>
    </w:lvl>
    <w:lvl w:ilvl="2" w:tentative="0">
      <w:start w:val="1"/>
      <w:numFmt w:val="lowerRoman"/>
      <w:lvlText w:val="%3."/>
      <w:lvlJc w:val="right"/>
      <w:pPr>
        <w:ind w:left="1692" w:hanging="420"/>
      </w:pPr>
    </w:lvl>
    <w:lvl w:ilvl="3" w:tentative="0">
      <w:start w:val="1"/>
      <w:numFmt w:val="decimal"/>
      <w:lvlText w:val="%4."/>
      <w:lvlJc w:val="left"/>
      <w:pPr>
        <w:ind w:left="2112" w:hanging="420"/>
      </w:pPr>
    </w:lvl>
    <w:lvl w:ilvl="4" w:tentative="0">
      <w:start w:val="1"/>
      <w:numFmt w:val="lowerLetter"/>
      <w:lvlText w:val="%5)"/>
      <w:lvlJc w:val="left"/>
      <w:pPr>
        <w:ind w:left="2532" w:hanging="420"/>
      </w:pPr>
    </w:lvl>
    <w:lvl w:ilvl="5" w:tentative="0">
      <w:start w:val="1"/>
      <w:numFmt w:val="lowerRoman"/>
      <w:lvlText w:val="%6."/>
      <w:lvlJc w:val="right"/>
      <w:pPr>
        <w:ind w:left="2952" w:hanging="420"/>
      </w:pPr>
    </w:lvl>
    <w:lvl w:ilvl="6" w:tentative="0">
      <w:start w:val="1"/>
      <w:numFmt w:val="decimal"/>
      <w:lvlText w:val="%7."/>
      <w:lvlJc w:val="left"/>
      <w:pPr>
        <w:ind w:left="3372" w:hanging="420"/>
      </w:pPr>
    </w:lvl>
    <w:lvl w:ilvl="7" w:tentative="0">
      <w:start w:val="1"/>
      <w:numFmt w:val="lowerLetter"/>
      <w:lvlText w:val="%8)"/>
      <w:lvlJc w:val="left"/>
      <w:pPr>
        <w:ind w:left="3792" w:hanging="420"/>
      </w:pPr>
    </w:lvl>
    <w:lvl w:ilvl="8" w:tentative="0">
      <w:start w:val="1"/>
      <w:numFmt w:val="lowerRoman"/>
      <w:lvlText w:val="%9."/>
      <w:lvlJc w:val="right"/>
      <w:pPr>
        <w:ind w:left="4212" w:hanging="42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embedSystemFonts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YwY2EzNjg3ZmRiNTdjZDhiODg1OGZkNGZkMTA1MGYifQ=="/>
  </w:docVars>
  <w:rsids>
    <w:rsidRoot w:val="73A13217"/>
    <w:rsid w:val="000A1E1E"/>
    <w:rsid w:val="00191FDA"/>
    <w:rsid w:val="002555F4"/>
    <w:rsid w:val="002D3E48"/>
    <w:rsid w:val="00465C56"/>
    <w:rsid w:val="006F4B2A"/>
    <w:rsid w:val="008F1306"/>
    <w:rsid w:val="009B4B00"/>
    <w:rsid w:val="00AD36B8"/>
    <w:rsid w:val="00DA6861"/>
    <w:rsid w:val="00E77D62"/>
    <w:rsid w:val="00EC6C57"/>
    <w:rsid w:val="0AE40DF2"/>
    <w:rsid w:val="0E2705DC"/>
    <w:rsid w:val="16B94E9C"/>
    <w:rsid w:val="1E0D728B"/>
    <w:rsid w:val="23FD39F4"/>
    <w:rsid w:val="26435DD6"/>
    <w:rsid w:val="3199197E"/>
    <w:rsid w:val="4BC33A61"/>
    <w:rsid w:val="4D93199E"/>
    <w:rsid w:val="590A31D2"/>
    <w:rsid w:val="5C003B5B"/>
    <w:rsid w:val="6A9A2957"/>
    <w:rsid w:val="73A13217"/>
    <w:rsid w:val="78283B56"/>
    <w:rsid w:val="7AA76FE3"/>
    <w:rsid w:val="7AAA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="0" w:firstLineChars="0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="0" w:firstLineChars="0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16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ate"/>
    <w:basedOn w:val="1"/>
    <w:next w:val="1"/>
    <w:link w:val="15"/>
    <w:uiPriority w:val="0"/>
    <w:pPr>
      <w:ind w:left="100" w:leftChars="2500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paragraph" w:customStyle="1" w:styleId="12">
    <w:name w:val="2"/>
    <w:basedOn w:val="1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13">
    <w:name w:val="列出段落1"/>
    <w:basedOn w:val="1"/>
    <w:qFormat/>
    <w:uiPriority w:val="34"/>
  </w:style>
  <w:style w:type="paragraph" w:styleId="14">
    <w:name w:val="List Paragraph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15">
    <w:name w:val="日期 字符"/>
    <w:basedOn w:val="10"/>
    <w:link w:val="6"/>
    <w:uiPriority w:val="0"/>
    <w:rPr>
      <w:kern w:val="2"/>
      <w:sz w:val="21"/>
      <w:szCs w:val="24"/>
    </w:rPr>
  </w:style>
  <w:style w:type="character" w:customStyle="1" w:styleId="16">
    <w:name w:val="标题 4 字符"/>
    <w:basedOn w:val="10"/>
    <w:link w:val="5"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Organization</Company>
  <Pages>16</Pages>
  <Words>1140</Words>
  <Characters>1345</Characters>
  <Lines>10</Lines>
  <Paragraphs>2</Paragraphs>
  <TotalTime>2</TotalTime>
  <ScaleCrop>false</ScaleCrop>
  <LinksUpToDate>false</LinksUpToDate>
  <CharactersWithSpaces>1348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2022-11-23T05:34:00Z</dcterms:created>
  <dc:creator>Administrator</dc:creator>
  <cp:lastModifiedBy>Administrator</cp:lastModifiedBy>
  <dcterms:modified xsi:type="dcterms:W3CDTF">2023-02-06T04:10:16Z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ABC97492334648DA84A2DEAAEE77A970</vt:lpwstr>
  </property>
</Properties>
</file>